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1E69E6" w:rsidRPr="001E69E6">
        <w:trPr>
          <w:tblCellSpacing w:w="15" w:type="dxa"/>
        </w:trPr>
        <w:tc>
          <w:tcPr>
            <w:tcW w:w="0" w:type="auto"/>
            <w:vAlign w:val="center"/>
            <w:hideMark/>
          </w:tcPr>
          <w:p w:rsidR="001E69E6" w:rsidRPr="001E69E6" w:rsidRDefault="001E69E6" w:rsidP="001E69E6">
            <w:pPr>
              <w:spacing w:after="0" w:line="240" w:lineRule="auto"/>
              <w:textAlignment w:val="top"/>
              <w:rPr>
                <w:rFonts w:ascii="Arial" w:eastAsia="Times New Roman" w:hAnsi="Arial" w:cs="Arial"/>
                <w:sz w:val="20"/>
                <w:szCs w:val="20"/>
                <w:lang w:eastAsia="tr-TR"/>
              </w:rPr>
            </w:pPr>
            <w:r w:rsidRPr="001E69E6">
              <w:rPr>
                <w:rFonts w:ascii="Arial" w:eastAsia="Times New Roman" w:hAnsi="Arial" w:cs="Arial"/>
                <w:b/>
                <w:bCs/>
                <w:color w:val="000080"/>
                <w:sz w:val="24"/>
                <w:szCs w:val="24"/>
                <w:lang w:eastAsia="tr-TR"/>
              </w:rPr>
              <w:t>Karasal Ortamda Yayında Olan Radyo ve Televizyon Kuruluşlarından Alınacak Televizyon Kanal ve Radyo Frekans Yıllık Kullanım Ücretlerine İlişkin Genel Duyuru, (29.04.2011)</w:t>
            </w:r>
            <w:r w:rsidRPr="001E69E6">
              <w:rPr>
                <w:rFonts w:ascii="Arial" w:eastAsia="Times New Roman" w:hAnsi="Arial" w:cs="Arial"/>
                <w:sz w:val="20"/>
                <w:szCs w:val="20"/>
                <w:lang w:eastAsia="tr-TR"/>
              </w:rPr>
              <w:t xml:space="preserve"> </w:t>
            </w:r>
          </w:p>
        </w:tc>
      </w:tr>
      <w:tr w:rsidR="001E69E6" w:rsidRPr="001E69E6">
        <w:trPr>
          <w:tblCellSpacing w:w="15" w:type="dxa"/>
        </w:trPr>
        <w:tc>
          <w:tcPr>
            <w:tcW w:w="0" w:type="auto"/>
            <w:vAlign w:val="center"/>
            <w:hideMark/>
          </w:tcPr>
          <w:p w:rsidR="001E69E6" w:rsidRPr="001E69E6" w:rsidRDefault="001E69E6" w:rsidP="001E69E6">
            <w:pPr>
              <w:spacing w:after="0" w:line="240" w:lineRule="auto"/>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pict>
                <v:rect id="_x0000_i1025" style="width:0;height:1.5pt" o:hralign="center" o:hrstd="t" o:hr="t" fillcolor="#a0a0a0" stroked="f"/>
              </w:pict>
            </w:r>
          </w:p>
          <w:tbl>
            <w:tblPr>
              <w:tblW w:w="0" w:type="auto"/>
              <w:tblCellSpacing w:w="15" w:type="dxa"/>
              <w:tblCellMar>
                <w:left w:w="0" w:type="dxa"/>
                <w:right w:w="0" w:type="dxa"/>
              </w:tblCellMar>
              <w:tblLook w:val="04A0" w:firstRow="1" w:lastRow="0" w:firstColumn="1" w:lastColumn="0" w:noHBand="0" w:noVBand="1"/>
            </w:tblPr>
            <w:tblGrid>
              <w:gridCol w:w="9072"/>
            </w:tblGrid>
            <w:tr w:rsidR="001E69E6" w:rsidRPr="001E69E6" w:rsidTr="001E69E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69E6" w:rsidRPr="001E69E6" w:rsidRDefault="001E69E6" w:rsidP="001E69E6">
                  <w:pPr>
                    <w:spacing w:after="0" w:line="240" w:lineRule="auto"/>
                    <w:jc w:val="center"/>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 </w:t>
                  </w:r>
                  <w:r w:rsidRPr="001E69E6">
                    <w:rPr>
                      <w:rFonts w:ascii="Arial" w:eastAsia="Times New Roman" w:hAnsi="Arial" w:cs="Arial"/>
                      <w:b/>
                      <w:bCs/>
                      <w:sz w:val="20"/>
                      <w:szCs w:val="20"/>
                      <w:lang w:eastAsia="tr-TR"/>
                    </w:rPr>
                    <w:t>RADYO VE TELEVİZYON ÜST KURULUNDAN</w:t>
                  </w:r>
                </w:p>
                <w:p w:rsidR="001E69E6" w:rsidRPr="001E69E6" w:rsidRDefault="001E69E6" w:rsidP="001E69E6">
                  <w:pPr>
                    <w:spacing w:after="0" w:line="240" w:lineRule="auto"/>
                    <w:jc w:val="center"/>
                    <w:textAlignment w:val="top"/>
                    <w:rPr>
                      <w:rFonts w:ascii="Arial" w:eastAsia="Times New Roman" w:hAnsi="Arial" w:cs="Arial"/>
                      <w:sz w:val="20"/>
                      <w:szCs w:val="20"/>
                      <w:lang w:eastAsia="tr-TR"/>
                    </w:rPr>
                  </w:pPr>
                  <w:r w:rsidRPr="001E69E6">
                    <w:rPr>
                      <w:rFonts w:ascii="Arial" w:eastAsia="Times New Roman" w:hAnsi="Arial" w:cs="Arial"/>
                      <w:b/>
                      <w:bCs/>
                      <w:sz w:val="20"/>
                      <w:szCs w:val="20"/>
                      <w:lang w:eastAsia="tr-TR"/>
                    </w:rPr>
                    <w:t>6112 Sayılı Yasanın 47. maddesi kapsamında medya hizmet sağlayıcı kuruluşlar ile platform ve altyapı işletmecilerine yönelik tebligat niteliğinde genel duyuru:</w:t>
                  </w:r>
                </w:p>
                <w:p w:rsidR="001E69E6" w:rsidRPr="001E69E6" w:rsidRDefault="001E69E6" w:rsidP="001E69E6">
                  <w:pPr>
                    <w:spacing w:after="0" w:line="240" w:lineRule="auto"/>
                    <w:textAlignment w:val="top"/>
                    <w:rPr>
                      <w:rFonts w:ascii="Arial" w:eastAsia="Times New Roman" w:hAnsi="Arial" w:cs="Arial"/>
                      <w:sz w:val="20"/>
                      <w:szCs w:val="20"/>
                      <w:lang w:eastAsia="tr-TR"/>
                    </w:rPr>
                  </w:pPr>
                  <w:r w:rsidRPr="001E69E6">
                    <w:rPr>
                      <w:rFonts w:ascii="Arial" w:eastAsia="Times New Roman" w:hAnsi="Arial" w:cs="Arial"/>
                      <w:b/>
                      <w:bCs/>
                      <w:sz w:val="20"/>
                      <w:szCs w:val="20"/>
                      <w:lang w:eastAsia="tr-TR"/>
                    </w:rPr>
                    <w:t xml:space="preserve">                                   </w:t>
                  </w:r>
                  <w:r w:rsidRPr="001E69E6">
                    <w:rPr>
                      <w:rFonts w:ascii="Arial" w:eastAsia="Times New Roman" w:hAnsi="Arial" w:cs="Arial"/>
                      <w:sz w:val="20"/>
                      <w:szCs w:val="20"/>
                      <w:lang w:eastAsia="tr-TR"/>
                    </w:rPr>
                    <w:t>   </w:t>
                  </w:r>
                </w:p>
                <w:p w:rsidR="001E69E6" w:rsidRPr="001E69E6" w:rsidRDefault="001E69E6" w:rsidP="001E69E6">
                  <w:pPr>
                    <w:spacing w:after="0" w:line="240" w:lineRule="auto"/>
                    <w:jc w:val="center"/>
                    <w:textAlignment w:val="top"/>
                    <w:rPr>
                      <w:rFonts w:ascii="Arial" w:eastAsia="Times New Roman" w:hAnsi="Arial" w:cs="Arial"/>
                      <w:sz w:val="20"/>
                      <w:szCs w:val="20"/>
                      <w:lang w:eastAsia="tr-TR"/>
                    </w:rPr>
                  </w:pPr>
                  <w:r w:rsidRPr="001E69E6">
                    <w:rPr>
                      <w:rFonts w:ascii="Arial" w:eastAsia="Times New Roman" w:hAnsi="Arial" w:cs="Arial"/>
                      <w:b/>
                      <w:bCs/>
                      <w:sz w:val="20"/>
                      <w:szCs w:val="20"/>
                      <w:lang w:eastAsia="tr-TR"/>
                    </w:rPr>
                    <w:t>KARASAL ORTAMDA YAYINDA OLAN RADYO VE TELEVİZYON KURULUŞLARINDAN ALINACAK TELEVİZYON KANAL VE RADYO FREKANS YILLIK KULLANIM ÜCRETLERİNE İLİŞKİN GENEL DUYURU</w:t>
                  </w:r>
                </w:p>
                <w:p w:rsidR="001E69E6" w:rsidRPr="001E69E6" w:rsidRDefault="001E69E6" w:rsidP="001E69E6">
                  <w:pPr>
                    <w:spacing w:after="0" w:line="240" w:lineRule="auto"/>
                    <w:jc w:val="center"/>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 </w:t>
                  </w:r>
                </w:p>
                <w:p w:rsidR="001E69E6" w:rsidRPr="001E69E6" w:rsidRDefault="001E69E6" w:rsidP="001E69E6">
                  <w:pPr>
                    <w:spacing w:after="0" w:line="240" w:lineRule="auto"/>
                    <w:ind w:firstLine="709"/>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Kamu ve özel radyo ve televizyon kuruluşlarından alınacak televizyon kanal ve radyo frekans yıllık kullanım ücretlerini belirlemeye yönelik  “Karasal Ortamda Yayında Olan Radyo ve Televizyon Kuruluşlarından Alınacak Televizyon Kanal ve Radyo Frekans Yıllık Kullanım Ücretlerine İlişkin Yönetmelik”,  </w:t>
                  </w:r>
                  <w:proofErr w:type="gramStart"/>
                  <w:r w:rsidRPr="001E69E6">
                    <w:rPr>
                      <w:rFonts w:ascii="Arial" w:eastAsia="Times New Roman" w:hAnsi="Arial" w:cs="Arial"/>
                      <w:sz w:val="20"/>
                      <w:szCs w:val="20"/>
                      <w:lang w:eastAsia="tr-TR"/>
                    </w:rPr>
                    <w:t>29/04/2011</w:t>
                  </w:r>
                  <w:proofErr w:type="gramEnd"/>
                  <w:r w:rsidRPr="001E69E6">
                    <w:rPr>
                      <w:rFonts w:ascii="Arial" w:eastAsia="Times New Roman" w:hAnsi="Arial" w:cs="Arial"/>
                      <w:sz w:val="20"/>
                      <w:szCs w:val="20"/>
                      <w:lang w:eastAsia="tr-TR"/>
                    </w:rPr>
                    <w:t xml:space="preserve"> tarihli ve 27919 sayılı Resmi </w:t>
                  </w:r>
                  <w:proofErr w:type="spellStart"/>
                  <w:r w:rsidRPr="001E69E6">
                    <w:rPr>
                      <w:rFonts w:ascii="Arial" w:eastAsia="Times New Roman" w:hAnsi="Arial" w:cs="Arial"/>
                      <w:sz w:val="20"/>
                      <w:szCs w:val="20"/>
                      <w:lang w:eastAsia="tr-TR"/>
                    </w:rPr>
                    <w:t>Gazete’de</w:t>
                  </w:r>
                  <w:proofErr w:type="spellEnd"/>
                  <w:r w:rsidRPr="001E69E6">
                    <w:rPr>
                      <w:rFonts w:ascii="Arial" w:eastAsia="Times New Roman" w:hAnsi="Arial" w:cs="Arial"/>
                      <w:sz w:val="20"/>
                      <w:szCs w:val="20"/>
                      <w:lang w:eastAsia="tr-TR"/>
                    </w:rPr>
                    <w:t xml:space="preserve"> yayımlanarak yürürlüğe girmiştir.</w:t>
                  </w:r>
                </w:p>
                <w:p w:rsidR="001E69E6" w:rsidRPr="001E69E6" w:rsidRDefault="001E69E6" w:rsidP="001E69E6">
                  <w:pPr>
                    <w:spacing w:after="0" w:line="240" w:lineRule="auto"/>
                    <w:ind w:firstLine="709"/>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6112 Sayılı Kanun ve söz konusu Yönetmelik çerçevesinde;</w:t>
                  </w:r>
                </w:p>
                <w:p w:rsidR="001E69E6" w:rsidRPr="001E69E6" w:rsidRDefault="001E69E6" w:rsidP="001E69E6">
                  <w:pPr>
                    <w:spacing w:after="0" w:line="240" w:lineRule="auto"/>
                    <w:ind w:firstLine="720"/>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 xml:space="preserve">1) Medya hizmet sağlayıcıların (radyo ve televizyon yayın kuruluşlarının), yıllık kanal/frekans kullanım ücretlerine esas olacak bildirimlerini </w:t>
                  </w:r>
                  <w:proofErr w:type="gramStart"/>
                  <w:r w:rsidRPr="001E69E6">
                    <w:rPr>
                      <w:rFonts w:ascii="Arial" w:eastAsia="Times New Roman" w:hAnsi="Arial" w:cs="Arial"/>
                      <w:sz w:val="20"/>
                      <w:szCs w:val="20"/>
                      <w:lang w:eastAsia="tr-TR"/>
                    </w:rPr>
                    <w:t>30/05/2011</w:t>
                  </w:r>
                  <w:proofErr w:type="gramEnd"/>
                  <w:r w:rsidRPr="001E69E6">
                    <w:rPr>
                      <w:rFonts w:ascii="Arial" w:eastAsia="Times New Roman" w:hAnsi="Arial" w:cs="Arial"/>
                      <w:sz w:val="20"/>
                      <w:szCs w:val="20"/>
                      <w:lang w:eastAsia="tr-TR"/>
                    </w:rPr>
                    <w:t xml:space="preserve"> tarihi saat 24:00’e kadar Üst Kurula yapmaları gerekmektedir. Belirtilen süre içerisinde bildirimde bulunmayan yayıncı kuruluşlara yıllık kanal/frekans kullanım ücretleri, Üst Kurul kayıtları esas alınarak tahakkuk ettirilecektir.   </w:t>
                  </w:r>
                </w:p>
                <w:p w:rsidR="001E69E6" w:rsidRPr="001E69E6" w:rsidRDefault="001E69E6" w:rsidP="001E69E6">
                  <w:pPr>
                    <w:spacing w:after="0" w:line="240" w:lineRule="auto"/>
                    <w:ind w:firstLine="720"/>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 xml:space="preserve">2) Yayıncı kuruluşların kanal/frekans kullanım bildirimlerini kolaylaştırmak ve bürokratik süreçleri azaltmak amacıyla, Üst Kurulca “Yayıncı Kuruluş Verici Bildirimi” </w:t>
                  </w:r>
                  <w:proofErr w:type="spellStart"/>
                  <w:r w:rsidRPr="001E69E6">
                    <w:rPr>
                      <w:rFonts w:ascii="Arial" w:eastAsia="Times New Roman" w:hAnsi="Arial" w:cs="Arial"/>
                      <w:sz w:val="20"/>
                      <w:szCs w:val="20"/>
                      <w:lang w:eastAsia="tr-TR"/>
                    </w:rPr>
                    <w:t>portalı</w:t>
                  </w:r>
                  <w:proofErr w:type="spellEnd"/>
                  <w:r w:rsidRPr="001E69E6">
                    <w:rPr>
                      <w:rFonts w:ascii="Arial" w:eastAsia="Times New Roman" w:hAnsi="Arial" w:cs="Arial"/>
                      <w:sz w:val="20"/>
                      <w:szCs w:val="20"/>
                      <w:lang w:eastAsia="tr-TR"/>
                    </w:rPr>
                    <w:t xml:space="preserve"> (yayıncı </w:t>
                  </w:r>
                  <w:proofErr w:type="spellStart"/>
                  <w:r w:rsidRPr="001E69E6">
                    <w:rPr>
                      <w:rFonts w:ascii="Arial" w:eastAsia="Times New Roman" w:hAnsi="Arial" w:cs="Arial"/>
                      <w:sz w:val="20"/>
                      <w:szCs w:val="20"/>
                      <w:lang w:eastAsia="tr-TR"/>
                    </w:rPr>
                    <w:t>portalı</w:t>
                  </w:r>
                  <w:proofErr w:type="spellEnd"/>
                  <w:r w:rsidRPr="001E69E6">
                    <w:rPr>
                      <w:rFonts w:ascii="Arial" w:eastAsia="Times New Roman" w:hAnsi="Arial" w:cs="Arial"/>
                      <w:sz w:val="20"/>
                      <w:szCs w:val="20"/>
                      <w:lang w:eastAsia="tr-TR"/>
                    </w:rPr>
                    <w:t xml:space="preserve">) hazırlanmıştır. Yayıncı kuruluşlar kanal/frekans kullanım bildirimlerini </w:t>
                  </w:r>
                  <w:hyperlink r:id="rId5" w:history="1">
                    <w:r w:rsidRPr="001E69E6">
                      <w:rPr>
                        <w:rFonts w:ascii="Arial" w:eastAsia="Times New Roman" w:hAnsi="Arial" w:cs="Arial"/>
                        <w:b/>
                        <w:bCs/>
                        <w:sz w:val="17"/>
                        <w:szCs w:val="17"/>
                        <w:lang w:eastAsia="tr-TR"/>
                      </w:rPr>
                      <w:t>http://yayinci.rtuk.org.tr</w:t>
                    </w:r>
                  </w:hyperlink>
                  <w:r w:rsidRPr="001E69E6">
                    <w:rPr>
                      <w:rFonts w:ascii="Arial" w:eastAsia="Times New Roman" w:hAnsi="Arial" w:cs="Arial"/>
                      <w:sz w:val="20"/>
                      <w:szCs w:val="20"/>
                      <w:lang w:eastAsia="tr-TR"/>
                    </w:rPr>
                    <w:t xml:space="preserve"> adresine veya </w:t>
                  </w:r>
                  <w:hyperlink r:id="rId6" w:history="1">
                    <w:r w:rsidRPr="001E69E6">
                      <w:rPr>
                        <w:rFonts w:ascii="Arial" w:eastAsia="Times New Roman" w:hAnsi="Arial" w:cs="Arial"/>
                        <w:b/>
                        <w:bCs/>
                        <w:sz w:val="17"/>
                        <w:szCs w:val="17"/>
                        <w:lang w:eastAsia="tr-TR"/>
                      </w:rPr>
                      <w:t>www.rtuk.org.tr</w:t>
                    </w:r>
                  </w:hyperlink>
                  <w:r w:rsidRPr="001E69E6">
                    <w:rPr>
                      <w:rFonts w:ascii="Arial" w:eastAsia="Times New Roman" w:hAnsi="Arial" w:cs="Arial"/>
                      <w:sz w:val="20"/>
                      <w:szCs w:val="20"/>
                      <w:lang w:eastAsia="tr-TR"/>
                    </w:rPr>
                    <w:t xml:space="preserve"> RTÜK internet sitesinde yer alan “Yayıncı </w:t>
                  </w:r>
                  <w:proofErr w:type="spellStart"/>
                  <w:r w:rsidRPr="001E69E6">
                    <w:rPr>
                      <w:rFonts w:ascii="Arial" w:eastAsia="Times New Roman" w:hAnsi="Arial" w:cs="Arial"/>
                      <w:sz w:val="20"/>
                      <w:szCs w:val="20"/>
                      <w:lang w:eastAsia="tr-TR"/>
                    </w:rPr>
                    <w:t>portalı</w:t>
                  </w:r>
                  <w:proofErr w:type="spellEnd"/>
                  <w:r w:rsidRPr="001E69E6">
                    <w:rPr>
                      <w:rFonts w:ascii="Arial" w:eastAsia="Times New Roman" w:hAnsi="Arial" w:cs="Arial"/>
                      <w:sz w:val="20"/>
                      <w:szCs w:val="20"/>
                      <w:lang w:eastAsia="tr-TR"/>
                    </w:rPr>
                    <w:t>” linkine bağlanmak ve Üst Kurul tarafından verilen kullanıcı adı ve şifrelerini girmek suretiyle yapabileceklerdir. Her bir yayıncı kuruluş için belirlenen kullanıcı adı ve şifre yazıyla kuruluşlara gönderilmektedir. 20/05/2011 tarihine kadar kullanıcı adı ve şifre bilgileri ulaşmayan yayıncı kuruluşların, bu durumu ivedilikle elektronik posta yoluyla frekansbildirimi@</w:t>
                  </w:r>
                  <w:proofErr w:type="gramStart"/>
                  <w:r w:rsidRPr="001E69E6">
                    <w:rPr>
                      <w:rFonts w:ascii="Arial" w:eastAsia="Times New Roman" w:hAnsi="Arial" w:cs="Arial"/>
                      <w:sz w:val="20"/>
                      <w:szCs w:val="20"/>
                      <w:lang w:eastAsia="tr-TR"/>
                    </w:rPr>
                    <w:t>rtuk.org.tr</w:t>
                  </w:r>
                  <w:proofErr w:type="gramEnd"/>
                  <w:r w:rsidRPr="001E69E6">
                    <w:rPr>
                      <w:rFonts w:ascii="Arial" w:eastAsia="Times New Roman" w:hAnsi="Arial" w:cs="Arial"/>
                      <w:sz w:val="20"/>
                      <w:szCs w:val="20"/>
                      <w:lang w:eastAsia="tr-TR"/>
                    </w:rPr>
                    <w:t xml:space="preserve"> adresine veya 0312 266 06 00 numaralı telefona bildirmeleri gerekmektedir. </w:t>
                  </w:r>
                </w:p>
                <w:p w:rsidR="001E69E6" w:rsidRPr="001E69E6" w:rsidRDefault="001E69E6" w:rsidP="001E69E6">
                  <w:pPr>
                    <w:spacing w:after="0" w:line="240" w:lineRule="auto"/>
                    <w:ind w:firstLine="720"/>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 xml:space="preserve">3) Her bir il merkezi ve ilçeler için standart verici gücü belirlenmiş olup, bu değerlere yayıncı </w:t>
                  </w:r>
                  <w:proofErr w:type="spellStart"/>
                  <w:r w:rsidRPr="001E69E6">
                    <w:rPr>
                      <w:rFonts w:ascii="Arial" w:eastAsia="Times New Roman" w:hAnsi="Arial" w:cs="Arial"/>
                      <w:sz w:val="20"/>
                      <w:szCs w:val="20"/>
                      <w:lang w:eastAsia="tr-TR"/>
                    </w:rPr>
                    <w:t>portalında</w:t>
                  </w:r>
                  <w:proofErr w:type="spellEnd"/>
                  <w:r w:rsidRPr="001E69E6">
                    <w:rPr>
                      <w:rFonts w:ascii="Arial" w:eastAsia="Times New Roman" w:hAnsi="Arial" w:cs="Arial"/>
                      <w:sz w:val="20"/>
                      <w:szCs w:val="20"/>
                      <w:lang w:eastAsia="tr-TR"/>
                    </w:rPr>
                    <w:t xml:space="preserve"> “Dokümanlar” menüsü altında yer alan “Ek-1-Standart Verici Güçleri” listesinden ulaşılabilecektir. Yayıncı kuruluşların yayın yaptıkları vericilerin çıkış güçleri Üst Kurulca belirlenmiş olan standart verici gücünden fazla olamayacağından, bilgi girişi yapılırken o yer için belirlenen standart verici gücü üzerinde bir değer girilemeyecektir. </w:t>
                  </w:r>
                </w:p>
                <w:p w:rsidR="001E69E6" w:rsidRPr="001E69E6" w:rsidRDefault="001E69E6" w:rsidP="001E69E6">
                  <w:pPr>
                    <w:spacing w:after="0" w:line="240" w:lineRule="auto"/>
                    <w:ind w:firstLine="720"/>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 xml:space="preserve">4) Kanal/frekans kullanım bildirim işlemleri tamamlandığında, bilgiler sistem üzerinden Üst Kurula gönderilecektir. Bu gönderme işlemi ardından portal üzerinde kuruluşlarca herhangi bir değişiklik yapılamayacaktır. Yayıncı </w:t>
                  </w:r>
                  <w:proofErr w:type="spellStart"/>
                  <w:r w:rsidRPr="001E69E6">
                    <w:rPr>
                      <w:rFonts w:ascii="Arial" w:eastAsia="Times New Roman" w:hAnsi="Arial" w:cs="Arial"/>
                      <w:sz w:val="20"/>
                      <w:szCs w:val="20"/>
                      <w:lang w:eastAsia="tr-TR"/>
                    </w:rPr>
                    <w:t>portalı</w:t>
                  </w:r>
                  <w:proofErr w:type="spellEnd"/>
                  <w:r w:rsidRPr="001E69E6">
                    <w:rPr>
                      <w:rFonts w:ascii="Arial" w:eastAsia="Times New Roman" w:hAnsi="Arial" w:cs="Arial"/>
                      <w:sz w:val="20"/>
                      <w:szCs w:val="20"/>
                      <w:lang w:eastAsia="tr-TR"/>
                    </w:rPr>
                    <w:t xml:space="preserve"> üzerinden kanal/frekans kullanım bildirimlerinde değişiklik yapılması veya bildirimler tamamlandıktan sonra Üst Kurula gönderilmesi ile ilgili açıklayıcı bilgiler </w:t>
                  </w:r>
                  <w:proofErr w:type="spellStart"/>
                  <w:r w:rsidRPr="001E69E6">
                    <w:rPr>
                      <w:rFonts w:ascii="Arial" w:eastAsia="Times New Roman" w:hAnsi="Arial" w:cs="Arial"/>
                      <w:sz w:val="20"/>
                      <w:szCs w:val="20"/>
                      <w:lang w:eastAsia="tr-TR"/>
                    </w:rPr>
                    <w:t>portalda</w:t>
                  </w:r>
                  <w:proofErr w:type="spellEnd"/>
                  <w:r w:rsidRPr="001E69E6">
                    <w:rPr>
                      <w:rFonts w:ascii="Arial" w:eastAsia="Times New Roman" w:hAnsi="Arial" w:cs="Arial"/>
                      <w:sz w:val="20"/>
                      <w:szCs w:val="20"/>
                      <w:lang w:eastAsia="tr-TR"/>
                    </w:rPr>
                    <w:t xml:space="preserve"> “Yayıncı portal kullanım kılavuzu” menüsünde yer almaktadır. Ayrıca yayıncı kuruluşlar, girmiş oldukları kanal/frekans kullanım bildirimlerinin çıktılarını, kuruluş yetkilisi isim, imza ve şirket kaşeli halde, bir üst yazı ile en geç </w:t>
                  </w:r>
                  <w:proofErr w:type="gramStart"/>
                  <w:r w:rsidRPr="001E69E6">
                    <w:rPr>
                      <w:rFonts w:ascii="Arial" w:eastAsia="Times New Roman" w:hAnsi="Arial" w:cs="Arial"/>
                      <w:sz w:val="20"/>
                      <w:szCs w:val="20"/>
                      <w:lang w:eastAsia="tr-TR"/>
                    </w:rPr>
                    <w:t>31/05/2011</w:t>
                  </w:r>
                  <w:proofErr w:type="gramEnd"/>
                  <w:r w:rsidRPr="001E69E6">
                    <w:rPr>
                      <w:rFonts w:ascii="Arial" w:eastAsia="Times New Roman" w:hAnsi="Arial" w:cs="Arial"/>
                      <w:sz w:val="20"/>
                      <w:szCs w:val="20"/>
                      <w:lang w:eastAsia="tr-TR"/>
                    </w:rPr>
                    <w:t xml:space="preserve"> tarihi mesai saati bitimine kadar Üst Kurula göndereceklerdir.</w:t>
                  </w:r>
                </w:p>
                <w:p w:rsidR="001E69E6" w:rsidRPr="001E69E6" w:rsidRDefault="001E69E6" w:rsidP="001E69E6">
                  <w:pPr>
                    <w:spacing w:after="0" w:line="240" w:lineRule="auto"/>
                    <w:ind w:firstLine="720"/>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5) Yayıncı kuruluşlar tarafından yapılan kanal/frekans kullanım bildirimleri, Üst Kurul kayıtları çerçevesinde değerlendirilecek ve 6112 sayılı Kanunun Geçici 4. maddesi uyarınca karasal ortamda yayın yapmalarına Üst Kurulca izin verilen yerleşim yerlerinde televizyon kanal ve radyo frekans kullanımları esas alınacaktır.</w:t>
                  </w:r>
                </w:p>
                <w:p w:rsidR="001E69E6" w:rsidRPr="001E69E6" w:rsidRDefault="001E69E6" w:rsidP="001E69E6">
                  <w:pPr>
                    <w:spacing w:after="0" w:line="240" w:lineRule="auto"/>
                    <w:ind w:firstLine="720"/>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6) Üst Kurula karasal ortamda yayın yapmak üzere lisans müracaatında bulunan fakat kendilerine karasal ortamda izin verilmemiş olan yayıncı kuruluşlar, karasal yayın hakkı elde ettiklerine dair mahkeme kararlarını Üst Kurula ibraz ederek kanal/frekans bildiriminde bulunabileceklerdir. </w:t>
                  </w:r>
                </w:p>
                <w:p w:rsidR="001E69E6" w:rsidRPr="001E69E6" w:rsidRDefault="001E69E6" w:rsidP="001E69E6">
                  <w:pPr>
                    <w:spacing w:after="0" w:line="240" w:lineRule="auto"/>
                    <w:ind w:firstLine="720"/>
                    <w:textAlignment w:val="top"/>
                    <w:rPr>
                      <w:rFonts w:ascii="Arial" w:eastAsia="Times New Roman" w:hAnsi="Arial" w:cs="Arial"/>
                      <w:sz w:val="20"/>
                      <w:szCs w:val="20"/>
                      <w:lang w:eastAsia="tr-TR"/>
                    </w:rPr>
                  </w:pPr>
                  <w:proofErr w:type="gramStart"/>
                  <w:r w:rsidRPr="001E69E6">
                    <w:rPr>
                      <w:rFonts w:ascii="Arial" w:eastAsia="Times New Roman" w:hAnsi="Arial" w:cs="Arial"/>
                      <w:sz w:val="20"/>
                      <w:szCs w:val="20"/>
                      <w:lang w:eastAsia="tr-TR"/>
                    </w:rPr>
                    <w:t xml:space="preserve">7) Yayın hizmetlerinin izlenmesi ve denetlenmesi için gerekli izleme ve kayıt cihazları stüdyolarına yerleştirilen yayıncı kuruluşlarla imzalanmış olan “Yayın Alış ve İletim Sistemleri Kurulmasına İlişkin Sözleşme” yenilenecek ve yeni sözleşme imzalamaları kaydıyla yayıncı kuruluşlara tahakkuk ettirilen yıllık kanal/frekans kullanım ücretinden, izleme ve kayıt cihazlarının tüketeceği yıllık toplam elektrik tüketim bedelleri dikkate alınarak bu kapsamdaki her bir kuruluş için yıllık 2.000- TL indirim yapılacaktır. </w:t>
                  </w:r>
                  <w:proofErr w:type="gramEnd"/>
                  <w:r w:rsidRPr="001E69E6">
                    <w:rPr>
                      <w:rFonts w:ascii="Arial" w:eastAsia="Times New Roman" w:hAnsi="Arial" w:cs="Arial"/>
                      <w:sz w:val="20"/>
                      <w:szCs w:val="20"/>
                      <w:lang w:eastAsia="tr-TR"/>
                    </w:rPr>
                    <w:t xml:space="preserve">Toplam yıllık kanal/frekans kullanım ücreti bu miktarın altında olan yayıncı kuruluşlara Üst Kurulca herhangi bir ödeme yapılmayacaktır. </w:t>
                  </w:r>
                </w:p>
                <w:p w:rsidR="001E69E6" w:rsidRPr="001E69E6" w:rsidRDefault="001E69E6" w:rsidP="001E69E6">
                  <w:pPr>
                    <w:spacing w:after="0" w:line="240" w:lineRule="auto"/>
                    <w:ind w:firstLine="709"/>
                    <w:textAlignment w:val="top"/>
                    <w:rPr>
                      <w:rFonts w:ascii="Arial" w:eastAsia="Times New Roman" w:hAnsi="Arial" w:cs="Arial"/>
                      <w:sz w:val="20"/>
                      <w:szCs w:val="20"/>
                      <w:lang w:eastAsia="tr-TR"/>
                    </w:rPr>
                  </w:pPr>
                  <w:r w:rsidRPr="001E69E6">
                    <w:rPr>
                      <w:rFonts w:ascii="Arial" w:eastAsia="Times New Roman" w:hAnsi="Arial" w:cs="Arial"/>
                      <w:sz w:val="20"/>
                      <w:szCs w:val="20"/>
                      <w:lang w:eastAsia="tr-TR"/>
                    </w:rPr>
                    <w:t xml:space="preserve">8) 6112 Sayılı Kanunun 42. ve Geçici 4. maddesi hükümleri çerçevesinde, yıllık kanal/frekans </w:t>
                  </w:r>
                  <w:r w:rsidRPr="001E69E6">
                    <w:rPr>
                      <w:rFonts w:ascii="Arial" w:eastAsia="Times New Roman" w:hAnsi="Arial" w:cs="Arial"/>
                      <w:sz w:val="20"/>
                      <w:szCs w:val="20"/>
                      <w:lang w:eastAsia="tr-TR"/>
                    </w:rPr>
                    <w:lastRenderedPageBreak/>
                    <w:t xml:space="preserve">kullanım ücreti taksitini süresi içerisinde ödemeyen özel yayıncı kuruluşlar bir ay içerisinde uyarılır ve tahakkuk ettirilen ücreti kanunî faizleri ile birlikte ödemesi ihtar edilir. İhtar kararının tebliğ edildiği tarihten itibaren iki ay içerisinde ödeme yapılmaması halinde, Üst Kurulca ilgili yayıncı kuruluşun 6112 Sayılı Kanunun Geçici 4. maddesi kapsamındaki yayın hakkı iptal edilir ve borcu genel hükümlere göre tahsil edilir. </w:t>
                  </w:r>
                </w:p>
              </w:tc>
            </w:tr>
          </w:tbl>
          <w:p w:rsidR="001E69E6" w:rsidRPr="001E69E6" w:rsidRDefault="001E69E6" w:rsidP="001E69E6">
            <w:pPr>
              <w:spacing w:after="0" w:line="240" w:lineRule="auto"/>
              <w:textAlignment w:val="top"/>
              <w:rPr>
                <w:rFonts w:ascii="Arial" w:eastAsia="Times New Roman" w:hAnsi="Arial" w:cs="Arial"/>
                <w:sz w:val="20"/>
                <w:szCs w:val="20"/>
                <w:lang w:eastAsia="tr-TR"/>
              </w:rPr>
            </w:pPr>
          </w:p>
        </w:tc>
      </w:tr>
    </w:tbl>
    <w:p w:rsidR="0099789C" w:rsidRDefault="001E69E6">
      <w:bookmarkStart w:id="0" w:name="_GoBack"/>
      <w:bookmarkEnd w:id="0"/>
    </w:p>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E6"/>
    <w:rsid w:val="001E69E6"/>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17470">
      <w:bodyDiv w:val="1"/>
      <w:marLeft w:val="0"/>
      <w:marRight w:val="0"/>
      <w:marTop w:val="75"/>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2028751133">
              <w:marLeft w:val="0"/>
              <w:marRight w:val="0"/>
              <w:marTop w:val="0"/>
              <w:marBottom w:val="0"/>
              <w:divBdr>
                <w:top w:val="none" w:sz="0" w:space="0" w:color="auto"/>
                <w:left w:val="none" w:sz="0" w:space="0" w:color="auto"/>
                <w:bottom w:val="none" w:sz="0" w:space="0" w:color="auto"/>
                <w:right w:val="none" w:sz="0" w:space="0" w:color="auto"/>
              </w:divBdr>
            </w:div>
            <w:div w:id="107048870">
              <w:marLeft w:val="0"/>
              <w:marRight w:val="0"/>
              <w:marTop w:val="0"/>
              <w:marBottom w:val="0"/>
              <w:divBdr>
                <w:top w:val="none" w:sz="0" w:space="0" w:color="auto"/>
                <w:left w:val="none" w:sz="0" w:space="0" w:color="auto"/>
                <w:bottom w:val="none" w:sz="0" w:space="0" w:color="auto"/>
                <w:right w:val="none" w:sz="0" w:space="0" w:color="auto"/>
              </w:divBdr>
            </w:div>
            <w:div w:id="1509179243">
              <w:marLeft w:val="0"/>
              <w:marRight w:val="0"/>
              <w:marTop w:val="0"/>
              <w:marBottom w:val="0"/>
              <w:divBdr>
                <w:top w:val="none" w:sz="0" w:space="0" w:color="auto"/>
                <w:left w:val="none" w:sz="0" w:space="0" w:color="auto"/>
                <w:bottom w:val="none" w:sz="0" w:space="0" w:color="auto"/>
                <w:right w:val="none" w:sz="0" w:space="0" w:color="auto"/>
              </w:divBdr>
            </w:div>
            <w:div w:id="1981030924">
              <w:marLeft w:val="0"/>
              <w:marRight w:val="0"/>
              <w:marTop w:val="0"/>
              <w:marBottom w:val="0"/>
              <w:divBdr>
                <w:top w:val="none" w:sz="0" w:space="0" w:color="auto"/>
                <w:left w:val="none" w:sz="0" w:space="0" w:color="auto"/>
                <w:bottom w:val="none" w:sz="0" w:space="0" w:color="auto"/>
                <w:right w:val="none" w:sz="0" w:space="0" w:color="auto"/>
              </w:divBdr>
            </w:div>
            <w:div w:id="841358567">
              <w:marLeft w:val="0"/>
              <w:marRight w:val="0"/>
              <w:marTop w:val="0"/>
              <w:marBottom w:val="0"/>
              <w:divBdr>
                <w:top w:val="none" w:sz="0" w:space="0" w:color="auto"/>
                <w:left w:val="none" w:sz="0" w:space="0" w:color="auto"/>
                <w:bottom w:val="none" w:sz="0" w:space="0" w:color="auto"/>
                <w:right w:val="none" w:sz="0" w:space="0" w:color="auto"/>
              </w:divBdr>
            </w:div>
            <w:div w:id="1285191351">
              <w:marLeft w:val="0"/>
              <w:marRight w:val="0"/>
              <w:marTop w:val="0"/>
              <w:marBottom w:val="0"/>
              <w:divBdr>
                <w:top w:val="none" w:sz="0" w:space="0" w:color="auto"/>
                <w:left w:val="none" w:sz="0" w:space="0" w:color="auto"/>
                <w:bottom w:val="none" w:sz="0" w:space="0" w:color="auto"/>
                <w:right w:val="none" w:sz="0" w:space="0" w:color="auto"/>
              </w:divBdr>
            </w:div>
            <w:div w:id="1802919400">
              <w:marLeft w:val="0"/>
              <w:marRight w:val="0"/>
              <w:marTop w:val="0"/>
              <w:marBottom w:val="0"/>
              <w:divBdr>
                <w:top w:val="none" w:sz="0" w:space="0" w:color="auto"/>
                <w:left w:val="none" w:sz="0" w:space="0" w:color="auto"/>
                <w:bottom w:val="none" w:sz="0" w:space="0" w:color="auto"/>
                <w:right w:val="none" w:sz="0" w:space="0" w:color="auto"/>
              </w:divBdr>
            </w:div>
            <w:div w:id="1106659474">
              <w:marLeft w:val="0"/>
              <w:marRight w:val="0"/>
              <w:marTop w:val="0"/>
              <w:marBottom w:val="0"/>
              <w:divBdr>
                <w:top w:val="none" w:sz="0" w:space="0" w:color="auto"/>
                <w:left w:val="none" w:sz="0" w:space="0" w:color="auto"/>
                <w:bottom w:val="none" w:sz="0" w:space="0" w:color="auto"/>
                <w:right w:val="none" w:sz="0" w:space="0" w:color="auto"/>
              </w:divBdr>
            </w:div>
            <w:div w:id="963387555">
              <w:marLeft w:val="0"/>
              <w:marRight w:val="0"/>
              <w:marTop w:val="0"/>
              <w:marBottom w:val="0"/>
              <w:divBdr>
                <w:top w:val="none" w:sz="0" w:space="0" w:color="auto"/>
                <w:left w:val="none" w:sz="0" w:space="0" w:color="auto"/>
                <w:bottom w:val="none" w:sz="0" w:space="0" w:color="auto"/>
                <w:right w:val="none" w:sz="0" w:space="0" w:color="auto"/>
              </w:divBdr>
            </w:div>
            <w:div w:id="483738587">
              <w:marLeft w:val="0"/>
              <w:marRight w:val="0"/>
              <w:marTop w:val="0"/>
              <w:marBottom w:val="0"/>
              <w:divBdr>
                <w:top w:val="none" w:sz="0" w:space="0" w:color="auto"/>
                <w:left w:val="none" w:sz="0" w:space="0" w:color="auto"/>
                <w:bottom w:val="none" w:sz="0" w:space="0" w:color="auto"/>
                <w:right w:val="none" w:sz="0" w:space="0" w:color="auto"/>
              </w:divBdr>
            </w:div>
            <w:div w:id="10166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tuk.org.tr/" TargetMode="External"/><Relationship Id="rId5" Type="http://schemas.openxmlformats.org/officeDocument/2006/relationships/hyperlink" Target="http://yayinci.rtuk.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2014-05-13T10:57:00Z</dcterms:created>
  <dcterms:modified xsi:type="dcterms:W3CDTF">2014-05-13T10:57:00Z</dcterms:modified>
</cp:coreProperties>
</file>